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448A" w14:textId="3BD64254" w:rsidR="007F1B09" w:rsidRDefault="007F1B09" w:rsidP="007F1B09">
      <w:pPr>
        <w:spacing w:line="360" w:lineRule="auto"/>
        <w:jc w:val="both"/>
      </w:pPr>
      <w:r w:rsidRPr="007F1B09">
        <w:t xml:space="preserve">Al-Talib H, </w:t>
      </w:r>
      <w:proofErr w:type="spellStart"/>
      <w:r w:rsidRPr="007F1B09">
        <w:t>Khanijaun</w:t>
      </w:r>
      <w:proofErr w:type="spellEnd"/>
      <w:r w:rsidRPr="007F1B09">
        <w:t xml:space="preserve"> SS, </w:t>
      </w:r>
      <w:proofErr w:type="spellStart"/>
      <w:r w:rsidRPr="007F1B09">
        <w:t>Behrenbruch</w:t>
      </w:r>
      <w:proofErr w:type="spellEnd"/>
      <w:r w:rsidRPr="007F1B09">
        <w:t xml:space="preserve"> C. Development of a </w:t>
      </w:r>
      <w:proofErr w:type="spellStart"/>
      <w:r w:rsidRPr="007F1B09">
        <w:t>Marjolin’s</w:t>
      </w:r>
      <w:proofErr w:type="spellEnd"/>
      <w:r w:rsidRPr="007F1B09">
        <w:t xml:space="preserve"> ulcer within a non-healing laparotomy wound. Int J Case Rep Images 2026;17(2):37–41.</w:t>
      </w:r>
    </w:p>
    <w:sectPr w:rsidR="007F1B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09"/>
    <w:rsid w:val="000E5A23"/>
    <w:rsid w:val="0013709F"/>
    <w:rsid w:val="0015459F"/>
    <w:rsid w:val="001B6D82"/>
    <w:rsid w:val="001E419D"/>
    <w:rsid w:val="00253DC2"/>
    <w:rsid w:val="00374EBF"/>
    <w:rsid w:val="004F6E26"/>
    <w:rsid w:val="00603117"/>
    <w:rsid w:val="007F1B09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109ED"/>
  <w15:chartTrackingRefBased/>
  <w15:docId w15:val="{A3276CCA-2205-4C89-BD7F-BBF2E94A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B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B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B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B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B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2026-10-15T11:13:00Z</dcterms:created>
  <dcterms:modified xsi:type="dcterms:W3CDTF">2026-10-15T11:13:00Z</dcterms:modified>
</cp:coreProperties>
</file>