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C037B" w14:textId="626A72B8" w:rsidR="0054326E" w:rsidRPr="0054326E" w:rsidRDefault="0054326E" w:rsidP="0054326E">
      <w:pPr>
        <w:spacing w:line="360" w:lineRule="auto"/>
        <w:jc w:val="both"/>
        <w:rPr>
          <w:rFonts w:ascii="Arial" w:hAnsi="Arial" w:cs="Arial"/>
        </w:rPr>
      </w:pPr>
      <w:r w:rsidRPr="0054326E">
        <w:rPr>
          <w:rFonts w:ascii="Arial" w:hAnsi="Arial" w:cs="Arial"/>
        </w:rPr>
        <w:t xml:space="preserve">Grech M, </w:t>
      </w:r>
      <w:proofErr w:type="spellStart"/>
      <w:r w:rsidRPr="0054326E">
        <w:rPr>
          <w:rFonts w:ascii="Arial" w:hAnsi="Arial" w:cs="Arial"/>
        </w:rPr>
        <w:t>Ilgun</w:t>
      </w:r>
      <w:proofErr w:type="spellEnd"/>
      <w:r w:rsidRPr="0054326E">
        <w:rPr>
          <w:rFonts w:ascii="Arial" w:hAnsi="Arial" w:cs="Arial"/>
        </w:rPr>
        <w:t xml:space="preserve"> AS, Agius J. Small bowel ischemia, perforation, and enterocutaneous fistula as gastrointestinal manifestations of eosinophilic granulomatosis with polyangiitis: A case report. Int J Case Rep Images 2026;17(2):12–16.</w:t>
      </w:r>
    </w:p>
    <w:sectPr w:rsidR="0054326E" w:rsidRPr="005432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26E"/>
    <w:rsid w:val="0013709F"/>
    <w:rsid w:val="0015459F"/>
    <w:rsid w:val="001B6D82"/>
    <w:rsid w:val="001E419D"/>
    <w:rsid w:val="004F6E26"/>
    <w:rsid w:val="0054326E"/>
    <w:rsid w:val="00603117"/>
    <w:rsid w:val="00D80848"/>
    <w:rsid w:val="00DC0000"/>
    <w:rsid w:val="00E0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69D80"/>
  <w15:chartTrackingRefBased/>
  <w15:docId w15:val="{722AB7B6-3F65-4C1A-BBCC-A4EA71D3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2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2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2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2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2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2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2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2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2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2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2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2026-08-11T05:19:00Z</dcterms:created>
  <dcterms:modified xsi:type="dcterms:W3CDTF">2026-08-11T05:20:00Z</dcterms:modified>
</cp:coreProperties>
</file>