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A8BF" w14:textId="42D708AA" w:rsidR="00563EF0" w:rsidRDefault="00563EF0" w:rsidP="00563EF0">
      <w:pPr>
        <w:spacing w:line="360" w:lineRule="auto"/>
        <w:jc w:val="both"/>
      </w:pPr>
      <w:r w:rsidRPr="00563EF0">
        <w:t xml:space="preserve">Assefa T, Tekle W, Kebede E, </w:t>
      </w:r>
      <w:proofErr w:type="spellStart"/>
      <w:r w:rsidRPr="00563EF0">
        <w:t>Tsehayeneh</w:t>
      </w:r>
      <w:proofErr w:type="spellEnd"/>
      <w:r w:rsidRPr="00563EF0">
        <w:t xml:space="preserve"> F, </w:t>
      </w:r>
      <w:proofErr w:type="spellStart"/>
      <w:r w:rsidRPr="00563EF0">
        <w:t>Tirsit</w:t>
      </w:r>
      <w:proofErr w:type="spellEnd"/>
      <w:r w:rsidRPr="00563EF0">
        <w:t xml:space="preserve"> E, Ethiopia B, </w:t>
      </w:r>
      <w:proofErr w:type="spellStart"/>
      <w:r w:rsidRPr="00563EF0">
        <w:t>Wudeneh</w:t>
      </w:r>
      <w:proofErr w:type="spellEnd"/>
      <w:r w:rsidRPr="00563EF0">
        <w:t xml:space="preserve"> Y. Guillain–Barré syndrome post stroke: Two case reports. Int J Case Rep Images 2026;17(1):7–11.</w:t>
      </w:r>
    </w:p>
    <w:sectPr w:rsidR="00563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F0"/>
    <w:rsid w:val="0013709F"/>
    <w:rsid w:val="0015459F"/>
    <w:rsid w:val="001B6D82"/>
    <w:rsid w:val="001E419D"/>
    <w:rsid w:val="004F6E26"/>
    <w:rsid w:val="00563EF0"/>
    <w:rsid w:val="00603117"/>
    <w:rsid w:val="009E1663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A612B"/>
  <w15:chartTrackingRefBased/>
  <w15:docId w15:val="{DD31712B-25C2-43AD-9D0C-5C22CE08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E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E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E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E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E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E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E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2026-01-28T04:58:00Z</dcterms:created>
  <dcterms:modified xsi:type="dcterms:W3CDTF">2026-01-28T04:58:00Z</dcterms:modified>
</cp:coreProperties>
</file>