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B06D" w14:textId="1DB78A89" w:rsidR="00FE041D" w:rsidRDefault="00FE041D" w:rsidP="00FE041D">
      <w:pPr>
        <w:jc w:val="both"/>
      </w:pPr>
      <w:r w:rsidRPr="00FE041D">
        <w:t xml:space="preserve">Misra S, Waller L, Kiran S, Haris M, Reddy R, </w:t>
      </w:r>
      <w:proofErr w:type="spellStart"/>
      <w:r w:rsidRPr="00FE041D">
        <w:t>Dhary</w:t>
      </w:r>
      <w:proofErr w:type="spellEnd"/>
      <w:r w:rsidRPr="00FE041D">
        <w:t xml:space="preserve"> Y, Oakden V, Turnbull E, Aujayeb A. Clinical importance of surgical emphysema post-local </w:t>
      </w:r>
      <w:proofErr w:type="spellStart"/>
      <w:r w:rsidRPr="00FE041D">
        <w:t>anesthetic</w:t>
      </w:r>
      <w:proofErr w:type="spellEnd"/>
      <w:r w:rsidRPr="00FE041D">
        <w:t xml:space="preserve"> thoracoscopy: A multi-</w:t>
      </w:r>
      <w:proofErr w:type="spellStart"/>
      <w:r w:rsidRPr="00FE041D">
        <w:t>center</w:t>
      </w:r>
      <w:proofErr w:type="spellEnd"/>
      <w:r w:rsidRPr="00FE041D">
        <w:t xml:space="preserve"> review of practice. Int J Case Rep Images 2025;16(2):53–57.</w:t>
      </w:r>
    </w:p>
    <w:sectPr w:rsidR="00FE0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1D"/>
    <w:rsid w:val="0013709F"/>
    <w:rsid w:val="001E419D"/>
    <w:rsid w:val="00603117"/>
    <w:rsid w:val="00D80848"/>
    <w:rsid w:val="00DC0000"/>
    <w:rsid w:val="00FD2CB9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A9C"/>
  <w15:chartTrackingRefBased/>
  <w15:docId w15:val="{72D6B9A5-1AF9-4A1C-AF10-C424A44D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4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4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4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4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2025-10-09T07:24:00Z</dcterms:created>
  <dcterms:modified xsi:type="dcterms:W3CDTF">2025-10-09T07:24:00Z</dcterms:modified>
</cp:coreProperties>
</file>