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6B5DF" w14:textId="633248A3" w:rsidR="0013709F" w:rsidRDefault="00516FC3" w:rsidP="00516FC3">
      <w:pPr>
        <w:spacing w:line="360" w:lineRule="auto"/>
        <w:jc w:val="both"/>
      </w:pPr>
      <w:r w:rsidRPr="00516FC3">
        <w:t>Gumber L, Lim CH, Ramharack K, Aujayeb A. An unexplained effusion with indwelling pleural catheter related complications. Int J Case Rep Images 2025;16(1):111–115.</w:t>
      </w:r>
    </w:p>
    <w:sectPr w:rsidR="001370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FC3"/>
    <w:rsid w:val="0013709F"/>
    <w:rsid w:val="00242159"/>
    <w:rsid w:val="00516FC3"/>
    <w:rsid w:val="00603117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C32DD"/>
  <w15:chartTrackingRefBased/>
  <w15:docId w15:val="{D76C9EFD-0A31-4FFA-BFE7-B27E60CF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6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F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F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F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F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F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F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F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F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F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F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F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F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F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2025-06-03T06:44:00Z</dcterms:created>
  <dcterms:modified xsi:type="dcterms:W3CDTF">2025-06-03T06:45:00Z</dcterms:modified>
</cp:coreProperties>
</file>