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CB5C" w14:textId="5BA8F494" w:rsidR="008C408C" w:rsidRPr="008C408C" w:rsidRDefault="008C408C" w:rsidP="008C408C">
      <w:pPr>
        <w:spacing w:line="360" w:lineRule="auto"/>
        <w:jc w:val="both"/>
        <w:rPr>
          <w:rFonts w:ascii="Arial" w:hAnsi="Arial" w:cs="Arial"/>
        </w:rPr>
      </w:pPr>
      <w:r w:rsidRPr="008C408C">
        <w:rPr>
          <w:rFonts w:ascii="Arial" w:hAnsi="Arial" w:cs="Arial"/>
        </w:rPr>
        <w:t xml:space="preserve">Jayaraman R, Louis B, </w:t>
      </w:r>
      <w:proofErr w:type="spellStart"/>
      <w:r w:rsidRPr="008C408C">
        <w:rPr>
          <w:rFonts w:ascii="Arial" w:hAnsi="Arial" w:cs="Arial"/>
        </w:rPr>
        <w:t>Tholappan</w:t>
      </w:r>
      <w:proofErr w:type="spellEnd"/>
      <w:r w:rsidRPr="008C408C">
        <w:rPr>
          <w:rFonts w:ascii="Arial" w:hAnsi="Arial" w:cs="Arial"/>
        </w:rPr>
        <w:t xml:space="preserve"> R, Subramanian VA. Myoglobin cast nephropathy long after an unevaluated febrile episode with no clinical evidence of rhabdomyolysis: A rare cause of reversible AKI—A case report. Int J Case Rep Images 2025;16(1):101–105.</w:t>
      </w:r>
    </w:p>
    <w:sectPr w:rsidR="008C408C" w:rsidRPr="008C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8C"/>
    <w:rsid w:val="0013709F"/>
    <w:rsid w:val="00603117"/>
    <w:rsid w:val="008C408C"/>
    <w:rsid w:val="00C27025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D0D2"/>
  <w15:chartTrackingRefBased/>
  <w15:docId w15:val="{49AC5BF5-D6C0-4C0B-8FBB-A8FE7B7D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0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2025-05-25T06:13:00Z</dcterms:created>
  <dcterms:modified xsi:type="dcterms:W3CDTF">2025-05-25T06:14:00Z</dcterms:modified>
</cp:coreProperties>
</file>