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FF9" w:rsidRDefault="003712C5" w:rsidP="003712C5">
      <w:pPr>
        <w:jc w:val="both"/>
      </w:pPr>
      <w:r w:rsidRPr="003712C5">
        <w:t>Bernaola-Paredes WE, Filho VB, Carvalho HP, Chen FK, Dalcin JF, Costa FD, Pellizzon ACA. Multimodal treatment of atypical transformation of pleomorphic adenoma (PA) of the lacrimal gland into high-grade ductal carcinoma. Int J Case Rep Images 2021;12:101232Z01WP2021.</w:t>
      </w:r>
    </w:p>
    <w:sectPr w:rsidR="00613FF9" w:rsidSect="00613F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3712C5"/>
    <w:rsid w:val="003712C5"/>
    <w:rsid w:val="00613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3F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2021-06-15T11:43:00Z</dcterms:created>
  <dcterms:modified xsi:type="dcterms:W3CDTF">2021-06-15T11:43:00Z</dcterms:modified>
</cp:coreProperties>
</file>